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93C5" w14:textId="54C11DA5" w:rsidR="00D2741F" w:rsidRPr="001F41F2" w:rsidRDefault="004E3C3D" w:rsidP="00BD7E52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 w:rsidRPr="001F41F2">
        <w:t xml:space="preserve">The Queensland Government has introduced a number of substantial policy, program and service delivery reforms to support Aboriginal and Torres Strait Islander peoples achieve their health aspirations since the release of the </w:t>
      </w:r>
      <w:r w:rsidRPr="00000B67">
        <w:rPr>
          <w:iCs/>
        </w:rPr>
        <w:t>Addressing Institutional Barriers to Health Equity for Aboriginal and Torres Strait Islander People in Queensland’s Public Hospital and Health Services report by the then Queensland Anti-Discrimination</w:t>
      </w:r>
      <w:r w:rsidRPr="001F41F2">
        <w:t xml:space="preserve"> Commission and the Queensland Aboriginal and Islander Health Council (QAIHC) in 2017.</w:t>
      </w:r>
    </w:p>
    <w:p w14:paraId="015C93C7" w14:textId="3D0355EA" w:rsidR="00D2741F" w:rsidRPr="001F41F2" w:rsidRDefault="004E3C3D" w:rsidP="00BD7E52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  <w:rPr>
          <w:i/>
        </w:rPr>
      </w:pPr>
      <w:r w:rsidRPr="001F41F2">
        <w:t xml:space="preserve">The passage of the </w:t>
      </w:r>
      <w:r w:rsidRPr="001F41F2">
        <w:rPr>
          <w:i/>
        </w:rPr>
        <w:t xml:space="preserve">Health Legislation Amendment Act 2020 </w:t>
      </w:r>
      <w:r w:rsidRPr="001F41F2">
        <w:t xml:space="preserve">on 20 August 2020 and the commencement of the </w:t>
      </w:r>
      <w:r w:rsidRPr="00000B67">
        <w:rPr>
          <w:iCs/>
        </w:rPr>
        <w:t xml:space="preserve">Hospital and Health Boards (Health Equity Strategies) Amendment Regulation 2021 on 30 </w:t>
      </w:r>
      <w:r w:rsidRPr="001F41F2">
        <w:t>April 2021 have substantively changed the legal framework guiding the public health system in Queensland by prioritising First Nations health equity.</w:t>
      </w:r>
    </w:p>
    <w:p w14:paraId="015C93C9" w14:textId="77777777" w:rsidR="00D2741F" w:rsidRPr="001F41F2" w:rsidRDefault="004E3C3D" w:rsidP="00BD7E52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 w:rsidRPr="001F41F2">
        <w:t>These legislative reforms now require Hospital and Health Services (HHSs) to develop and implement Health Equity Strategies, and to have First Nations representation on their boards.</w:t>
      </w:r>
    </w:p>
    <w:p w14:paraId="015C93CB" w14:textId="60B844D9" w:rsidR="00D2741F" w:rsidRPr="001F41F2" w:rsidRDefault="004E3C3D" w:rsidP="00BD7E52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 w:rsidRPr="001F41F2">
        <w:t xml:space="preserve">Queensland Health has established </w:t>
      </w:r>
      <w:r w:rsidR="00E76F8A">
        <w:t>a</w:t>
      </w:r>
      <w:r w:rsidR="00E76F8A" w:rsidRPr="001F41F2">
        <w:t xml:space="preserve"> </w:t>
      </w:r>
      <w:r w:rsidRPr="001F41F2">
        <w:t>strong legal foundation to ensure Aboriginal and Torres Strait Islander peoples receive equitable and culturally safe care from the public health system. In a national first, participation by Aboriginal and Torres Strait Islander peoples, communities and organisations in the design and delivery of health services is now legislated.</w:t>
      </w:r>
    </w:p>
    <w:p w14:paraId="015C93CF" w14:textId="0A4ED8C4" w:rsidR="00D2741F" w:rsidRPr="001F41F2" w:rsidRDefault="004E3C3D" w:rsidP="00BD7E52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 w:rsidRPr="001F41F2">
        <w:t xml:space="preserve">Queensland’s Aboriginal and Torres Strait Islander Health Equity </w:t>
      </w:r>
      <w:r w:rsidRPr="00000B67">
        <w:t>Framework</w:t>
      </w:r>
      <w:r w:rsidR="00092AB0" w:rsidRPr="00000B67">
        <w:t>,</w:t>
      </w:r>
      <w:r w:rsidRPr="00000B67">
        <w:t xml:space="preserve"> Making Tracks Together provides strategic guidance to HHSs to develop and implement t</w:t>
      </w:r>
      <w:r w:rsidRPr="001F41F2">
        <w:t>heir Health Equity Strategies, and is based on the findings of a consultation process about the actions needed to drive a renewed health equity agenda across the health system.</w:t>
      </w:r>
    </w:p>
    <w:p w14:paraId="015C93D1" w14:textId="41C79674" w:rsidR="00D2741F" w:rsidRPr="001F41F2" w:rsidRDefault="004E3C3D" w:rsidP="00BD7E52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 w:rsidRPr="00000B67">
        <w:rPr>
          <w:iCs/>
        </w:rPr>
        <w:t>Making Tracks Together</w:t>
      </w:r>
      <w:r w:rsidRPr="001F41F2">
        <w:rPr>
          <w:i/>
        </w:rPr>
        <w:t xml:space="preserve"> </w:t>
      </w:r>
      <w:r w:rsidRPr="001F41F2">
        <w:t>was co-designed in partnership between Queensland Health and QAIHC in a demonstration of the Queensland Government’s commitment to sharing decision-making authority with Aboriginal and Torres Strait Islander representative bodies as per the commitments in the</w:t>
      </w:r>
      <w:r w:rsidR="00092AB0">
        <w:t xml:space="preserve"> </w:t>
      </w:r>
      <w:r w:rsidR="00092AB0" w:rsidRPr="00000B67">
        <w:t>2020</w:t>
      </w:r>
      <w:r w:rsidRPr="00000B67">
        <w:t xml:space="preserve"> National Agreement in Closing the Gap.</w:t>
      </w:r>
    </w:p>
    <w:p w14:paraId="015C93D3" w14:textId="77777777" w:rsidR="00D2741F" w:rsidRPr="001F41F2" w:rsidRDefault="004E3C3D" w:rsidP="00BD7E52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 w:rsidRPr="001F41F2">
        <w:t xml:space="preserve">The </w:t>
      </w:r>
      <w:r w:rsidRPr="00000B67">
        <w:rPr>
          <w:iCs/>
        </w:rPr>
        <w:t>First Nations Health Equity Consultation Report</w:t>
      </w:r>
      <w:r w:rsidRPr="001F41F2">
        <w:rPr>
          <w:i/>
        </w:rPr>
        <w:t xml:space="preserve"> </w:t>
      </w:r>
      <w:r w:rsidRPr="001F41F2">
        <w:t>was prepared by QAIHC and summarises the findings from the statewide consultations.</w:t>
      </w:r>
    </w:p>
    <w:p w14:paraId="015C93D5" w14:textId="4BA439DF" w:rsidR="00D2741F" w:rsidRPr="00000B67" w:rsidRDefault="004E3C3D" w:rsidP="00BD7E52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  <w:rPr>
          <w:iCs/>
        </w:rPr>
      </w:pPr>
      <w:r w:rsidRPr="001F41F2">
        <w:rPr>
          <w:u w:val="single"/>
        </w:rPr>
        <w:t>Cabinet approved</w:t>
      </w:r>
      <w:r w:rsidRPr="001F41F2">
        <w:t xml:space="preserve"> the public release of </w:t>
      </w:r>
      <w:r w:rsidR="00000B67">
        <w:t xml:space="preserve">the Making Tracks Together: </w:t>
      </w:r>
      <w:r w:rsidRPr="001F41F2">
        <w:t>Queensland’s Aboriginal and Torres Strait Islander Health Equity Framework</w:t>
      </w:r>
      <w:r w:rsidR="00000B67">
        <w:t xml:space="preserve"> and </w:t>
      </w:r>
      <w:r w:rsidRPr="001F41F2">
        <w:t xml:space="preserve">the </w:t>
      </w:r>
      <w:r w:rsidRPr="00000B67">
        <w:rPr>
          <w:iCs/>
        </w:rPr>
        <w:t>First Nations Health Equity Consultation Report.</w:t>
      </w:r>
    </w:p>
    <w:p w14:paraId="015C93D7" w14:textId="019ACF22" w:rsidR="00D2741F" w:rsidRPr="001F41F2" w:rsidRDefault="004E3C3D" w:rsidP="00BD7E52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5" w:right="6" w:hanging="425"/>
        <w:jc w:val="both"/>
        <w:rPr>
          <w:i/>
          <w:u w:val="single"/>
        </w:rPr>
      </w:pPr>
      <w:r w:rsidRPr="001F41F2">
        <w:rPr>
          <w:i/>
          <w:u w:val="single"/>
        </w:rPr>
        <w:t>Attachments</w:t>
      </w:r>
      <w:r w:rsidR="003C2B89" w:rsidRPr="001F41F2">
        <w:rPr>
          <w:iCs/>
        </w:rPr>
        <w:t>:</w:t>
      </w:r>
    </w:p>
    <w:p w14:paraId="5C0211E3" w14:textId="462FD6BE" w:rsidR="00462361" w:rsidRPr="00000B67" w:rsidRDefault="002044E5" w:rsidP="00BD7E52">
      <w:pPr>
        <w:pStyle w:val="ListParagraph"/>
        <w:numPr>
          <w:ilvl w:val="1"/>
          <w:numId w:val="1"/>
        </w:numPr>
        <w:tabs>
          <w:tab w:val="left" w:pos="426"/>
          <w:tab w:val="left" w:pos="955"/>
          <w:tab w:val="left" w:pos="956"/>
        </w:tabs>
        <w:spacing w:before="120" w:line="238" w:lineRule="auto"/>
        <w:ind w:left="850" w:right="6" w:hanging="425"/>
        <w:rPr>
          <w:iCs/>
        </w:rPr>
      </w:pPr>
      <w:hyperlink r:id="rId10" w:history="1">
        <w:r w:rsidR="00462361" w:rsidRPr="00DC4702">
          <w:rPr>
            <w:rStyle w:val="Hyperlink"/>
            <w:iCs/>
          </w:rPr>
          <w:t>Making Tracks Together: Queensland’s Aboriginal and Torres Strait Islander Health Equity Framework</w:t>
        </w:r>
      </w:hyperlink>
    </w:p>
    <w:p w14:paraId="015C93DB" w14:textId="17375039" w:rsidR="00D2741F" w:rsidRPr="00000B67" w:rsidRDefault="002044E5" w:rsidP="00BD7E52">
      <w:pPr>
        <w:pStyle w:val="ListParagraph"/>
        <w:numPr>
          <w:ilvl w:val="1"/>
          <w:numId w:val="1"/>
        </w:numPr>
        <w:tabs>
          <w:tab w:val="left" w:pos="426"/>
          <w:tab w:val="left" w:pos="955"/>
          <w:tab w:val="left" w:pos="956"/>
        </w:tabs>
        <w:spacing w:before="120"/>
        <w:ind w:left="850" w:right="6" w:hanging="425"/>
        <w:rPr>
          <w:iCs/>
        </w:rPr>
      </w:pPr>
      <w:hyperlink r:id="rId11" w:history="1">
        <w:r w:rsidR="004E3C3D" w:rsidRPr="00DC4702">
          <w:rPr>
            <w:rStyle w:val="Hyperlink"/>
            <w:iCs/>
          </w:rPr>
          <w:t>First Nations Health Equity Consultation Report</w:t>
        </w:r>
      </w:hyperlink>
    </w:p>
    <w:sectPr w:rsidR="00D2741F" w:rsidRPr="00000B67" w:rsidSect="00BD7E52">
      <w:headerReference w:type="default" r:id="rId12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891FF" w14:textId="77777777" w:rsidR="00180088" w:rsidRDefault="00180088" w:rsidP="001B6C1C">
      <w:r>
        <w:separator/>
      </w:r>
    </w:p>
  </w:endnote>
  <w:endnote w:type="continuationSeparator" w:id="0">
    <w:p w14:paraId="17BD64AD" w14:textId="77777777" w:rsidR="00180088" w:rsidRDefault="00180088" w:rsidP="001B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2A20" w14:textId="77777777" w:rsidR="00180088" w:rsidRDefault="00180088" w:rsidP="001B6C1C">
      <w:r>
        <w:separator/>
      </w:r>
    </w:p>
  </w:footnote>
  <w:footnote w:type="continuationSeparator" w:id="0">
    <w:p w14:paraId="3DBD773C" w14:textId="77777777" w:rsidR="00180088" w:rsidRDefault="00180088" w:rsidP="001B6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721C" w14:textId="77777777" w:rsidR="001B6C1C" w:rsidRPr="00937A4A" w:rsidRDefault="001B6C1C" w:rsidP="001B6C1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7D573B7D" w14:textId="77777777" w:rsidR="001B6C1C" w:rsidRPr="00937A4A" w:rsidRDefault="001B6C1C" w:rsidP="001B6C1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169227C5" w14:textId="6EC85790" w:rsidR="001B6C1C" w:rsidRPr="00937A4A" w:rsidRDefault="001B6C1C" w:rsidP="001B6C1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A93177">
      <w:rPr>
        <w:b/>
      </w:rPr>
      <w:t xml:space="preserve">September </w:t>
    </w:r>
    <w:r>
      <w:rPr>
        <w:b/>
      </w:rPr>
      <w:t>2021</w:t>
    </w:r>
  </w:p>
  <w:p w14:paraId="000C6B3D" w14:textId="44B7ADBE" w:rsidR="001B6C1C" w:rsidRDefault="001B6C1C" w:rsidP="001B6C1C">
    <w:pPr>
      <w:pStyle w:val="Header"/>
      <w:spacing w:before="120"/>
      <w:rPr>
        <w:b/>
        <w:u w:val="single"/>
      </w:rPr>
    </w:pPr>
    <w:r>
      <w:rPr>
        <w:b/>
        <w:u w:val="single"/>
      </w:rPr>
      <w:t xml:space="preserve">Driving health equity together across the health system in Queensland – release of the </w:t>
    </w:r>
    <w:r w:rsidRPr="007F304E">
      <w:rPr>
        <w:b/>
        <w:i/>
        <w:iCs/>
        <w:u w:val="single"/>
      </w:rPr>
      <w:t>Making Tracks Together: Queensland’s Abo</w:t>
    </w:r>
    <w:r w:rsidR="001B1761" w:rsidRPr="007F304E">
      <w:rPr>
        <w:b/>
        <w:i/>
        <w:iCs/>
        <w:u w:val="single"/>
      </w:rPr>
      <w:t>riginal and Torres Strait Islander Health Equity Framework</w:t>
    </w:r>
  </w:p>
  <w:p w14:paraId="777ABF40" w14:textId="58FDB1EC" w:rsidR="001B6C1C" w:rsidRDefault="001B6C1C" w:rsidP="001B6C1C">
    <w:pPr>
      <w:pStyle w:val="Header"/>
      <w:spacing w:before="120"/>
      <w:rPr>
        <w:b/>
        <w:u w:val="single"/>
      </w:rPr>
    </w:pPr>
    <w:r>
      <w:rPr>
        <w:b/>
        <w:u w:val="single"/>
      </w:rPr>
      <w:t>Minister</w:t>
    </w:r>
    <w:r w:rsidR="001B1761">
      <w:rPr>
        <w:b/>
        <w:u w:val="single"/>
      </w:rPr>
      <w:t xml:space="preserve"> for Health and Ambulance Services</w:t>
    </w:r>
  </w:p>
  <w:p w14:paraId="179F8FF7" w14:textId="20606BDE" w:rsidR="006C7EEB" w:rsidRDefault="006C7EEB" w:rsidP="00BD7E52">
    <w:pPr>
      <w:pStyle w:val="Header"/>
      <w:rPr>
        <w:b/>
        <w:u w:val="single"/>
      </w:rPr>
    </w:pPr>
    <w:r>
      <w:rPr>
        <w:b/>
        <w:u w:val="single"/>
      </w:rPr>
      <w:t>Minister for Seniors and Disability Services and Minister for Aboriginal and Torres Strait Islander Partnerships</w:t>
    </w:r>
  </w:p>
  <w:p w14:paraId="3B07EE04" w14:textId="77777777" w:rsidR="001B6C1C" w:rsidRDefault="001B6C1C" w:rsidP="001B6C1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54459"/>
    <w:multiLevelType w:val="hybridMultilevel"/>
    <w:tmpl w:val="E4005C12"/>
    <w:lvl w:ilvl="0" w:tplc="7CAC3DE8">
      <w:start w:val="1"/>
      <w:numFmt w:val="decimal"/>
      <w:lvlText w:val="%1."/>
      <w:lvlJc w:val="left"/>
      <w:pPr>
        <w:ind w:left="592" w:hanging="360"/>
        <w:jc w:val="left"/>
      </w:pPr>
      <w:rPr>
        <w:rFonts w:hint="default"/>
        <w:i w:val="0"/>
        <w:iCs w:val="0"/>
        <w:spacing w:val="-3"/>
        <w:w w:val="100"/>
      </w:rPr>
    </w:lvl>
    <w:lvl w:ilvl="1" w:tplc="B6C09952">
      <w:numFmt w:val="bullet"/>
      <w:lvlText w:val=""/>
      <w:lvlJc w:val="left"/>
      <w:pPr>
        <w:ind w:left="955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438A5F96">
      <w:numFmt w:val="bullet"/>
      <w:lvlText w:val="•"/>
      <w:lvlJc w:val="left"/>
      <w:pPr>
        <w:ind w:left="1974" w:hanging="363"/>
      </w:pPr>
      <w:rPr>
        <w:rFonts w:hint="default"/>
      </w:rPr>
    </w:lvl>
    <w:lvl w:ilvl="3" w:tplc="6D48F9D4">
      <w:numFmt w:val="bullet"/>
      <w:lvlText w:val="•"/>
      <w:lvlJc w:val="left"/>
      <w:pPr>
        <w:ind w:left="2988" w:hanging="363"/>
      </w:pPr>
      <w:rPr>
        <w:rFonts w:hint="default"/>
      </w:rPr>
    </w:lvl>
    <w:lvl w:ilvl="4" w:tplc="D5129B3E">
      <w:numFmt w:val="bullet"/>
      <w:lvlText w:val="•"/>
      <w:lvlJc w:val="left"/>
      <w:pPr>
        <w:ind w:left="4002" w:hanging="363"/>
      </w:pPr>
      <w:rPr>
        <w:rFonts w:hint="default"/>
      </w:rPr>
    </w:lvl>
    <w:lvl w:ilvl="5" w:tplc="101EB62A">
      <w:numFmt w:val="bullet"/>
      <w:lvlText w:val="•"/>
      <w:lvlJc w:val="left"/>
      <w:pPr>
        <w:ind w:left="5016" w:hanging="363"/>
      </w:pPr>
      <w:rPr>
        <w:rFonts w:hint="default"/>
      </w:rPr>
    </w:lvl>
    <w:lvl w:ilvl="6" w:tplc="158AACCC">
      <w:numFmt w:val="bullet"/>
      <w:lvlText w:val="•"/>
      <w:lvlJc w:val="left"/>
      <w:pPr>
        <w:ind w:left="6030" w:hanging="363"/>
      </w:pPr>
      <w:rPr>
        <w:rFonts w:hint="default"/>
      </w:rPr>
    </w:lvl>
    <w:lvl w:ilvl="7" w:tplc="B4B8AAE0">
      <w:numFmt w:val="bullet"/>
      <w:lvlText w:val="•"/>
      <w:lvlJc w:val="left"/>
      <w:pPr>
        <w:ind w:left="7044" w:hanging="363"/>
      </w:pPr>
      <w:rPr>
        <w:rFonts w:hint="default"/>
      </w:rPr>
    </w:lvl>
    <w:lvl w:ilvl="8" w:tplc="F0C2FC98">
      <w:numFmt w:val="bullet"/>
      <w:lvlText w:val="•"/>
      <w:lvlJc w:val="left"/>
      <w:pPr>
        <w:ind w:left="8058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741F"/>
    <w:rsid w:val="00000B67"/>
    <w:rsid w:val="00070AE3"/>
    <w:rsid w:val="0008166F"/>
    <w:rsid w:val="00092AB0"/>
    <w:rsid w:val="00180088"/>
    <w:rsid w:val="001B1761"/>
    <w:rsid w:val="001B6C1C"/>
    <w:rsid w:val="001F41F2"/>
    <w:rsid w:val="002044E5"/>
    <w:rsid w:val="00251ADB"/>
    <w:rsid w:val="002D163C"/>
    <w:rsid w:val="003C2B89"/>
    <w:rsid w:val="00430531"/>
    <w:rsid w:val="00462361"/>
    <w:rsid w:val="004A7E4D"/>
    <w:rsid w:val="004E3C3D"/>
    <w:rsid w:val="00687A98"/>
    <w:rsid w:val="006A609C"/>
    <w:rsid w:val="006C7EEB"/>
    <w:rsid w:val="007F304E"/>
    <w:rsid w:val="009871AA"/>
    <w:rsid w:val="00A93177"/>
    <w:rsid w:val="00BD7E52"/>
    <w:rsid w:val="00CE4338"/>
    <w:rsid w:val="00D2741F"/>
    <w:rsid w:val="00D778E1"/>
    <w:rsid w:val="00DC4702"/>
    <w:rsid w:val="00E76F8A"/>
    <w:rsid w:val="00EF2B7F"/>
    <w:rsid w:val="00F735C7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C9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739" w:right="73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9"/>
      <w:ind w:left="232"/>
      <w:jc w:val="both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739" w:right="740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59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6C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C1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B6C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C1C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30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5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53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531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A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AB0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78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8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78E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D163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Report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Framework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AB181-1FFE-447D-831C-DF9073434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43DD6-F53C-4462-B7E1-A832676645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2F9AF5-953F-4DA4-AA4D-F2FC159E8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369</Words>
  <Characters>2225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Base>https://www.cabinet.qld.gov.au/documents/2021/Sep/Making Tracks/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25</cp:revision>
  <cp:lastPrinted>2021-12-02T07:05:00Z</cp:lastPrinted>
  <dcterms:created xsi:type="dcterms:W3CDTF">2021-09-10T00:34:00Z</dcterms:created>
  <dcterms:modified xsi:type="dcterms:W3CDTF">2022-02-21T22:38:00Z</dcterms:modified>
  <cp:category>Aboriginal_and_Torres_Strait_Islander,Health,Hospitals,Service_Delivery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2021-09-10T00:00:00Z</vt:filetime>
  </property>
  <property fmtid="{D5CDD505-2E9C-101B-9397-08002B2CF9AE}" pid="5" name="ContentTypeId">
    <vt:lpwstr>0x010100DDE14CFDD070B24F85F5DE43654FF01E</vt:lpwstr>
  </property>
</Properties>
</file>